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40"/>
        <w:gridCol w:w="2226"/>
        <w:gridCol w:w="2226"/>
        <w:gridCol w:w="2946"/>
      </w:tblGrid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 Supervisor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</w:rPr>
            </w:pPr>
            <w:r w:rsidRPr="00BA53C2">
              <w:rPr>
                <w:rFonts w:ascii="Calibri" w:eastAsia="Calibri" w:hAnsi="Calibri" w:cs="Times New Roman"/>
              </w:rPr>
              <w:t>Host Site Address</w:t>
            </w:r>
          </w:p>
        </w:tc>
        <w:tc>
          <w:tcPr>
            <w:tcW w:w="8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AF115A" w:rsidRPr="00BA53C2" w:rsidTr="00EB0511">
        <w:tc>
          <w:tcPr>
            <w:tcW w:w="3618" w:type="dxa"/>
            <w:gridSpan w:val="2"/>
            <w:shd w:val="clear" w:color="auto" w:fill="9CC2E5" w:themeFill="accent1" w:themeFillTint="9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  <w:r w:rsidRPr="00BA53C2">
              <w:rPr>
                <w:rFonts w:ascii="Calibri" w:eastAsia="Calibri" w:hAnsi="Calibri" w:cs="Times New Roman"/>
              </w:rPr>
              <w:t>Completed by Iowa Campus Compact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  <w:r w:rsidRPr="00BA53C2">
              <w:rPr>
                <w:rFonts w:ascii="Calibri" w:eastAsia="Calibri" w:hAnsi="Calibri" w:cs="Times New Roman"/>
                <w:b/>
              </w:rPr>
              <w:t>Agreement Number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F115A" w:rsidRPr="00BA53C2" w:rsidTr="00EB0511">
        <w:tc>
          <w:tcPr>
            <w:tcW w:w="11016" w:type="dxa"/>
            <w:gridSpan w:val="5"/>
          </w:tcPr>
          <w:p w:rsidR="00AF115A" w:rsidRPr="00BA53C2" w:rsidRDefault="00AF115A" w:rsidP="00EB0511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</w:tbl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1440"/>
        <w:gridCol w:w="1278"/>
      </w:tblGrid>
      <w:tr w:rsidR="00AF115A" w:rsidRPr="00736D8F" w:rsidTr="00EB0511">
        <w:tc>
          <w:tcPr>
            <w:tcW w:w="8298" w:type="dxa"/>
            <w:tcBorders>
              <w:bottom w:val="nil"/>
            </w:tcBorders>
            <w:shd w:val="clear" w:color="auto" w:fill="D9D9D9" w:themeFill="background1" w:themeFillShade="D9"/>
          </w:tcPr>
          <w:p w:rsidR="00AF115A" w:rsidRPr="006D1050" w:rsidRDefault="00AF115A" w:rsidP="00EB0511">
            <w:pPr>
              <w:rPr>
                <w:rFonts w:ascii="Calibri" w:eastAsia="Calibri" w:hAnsi="Calibri"/>
                <w:sz w:val="20"/>
              </w:rPr>
            </w:pPr>
            <w:r w:rsidRPr="006D1050">
              <w:rPr>
                <w:rFonts w:ascii="Calibri" w:eastAsia="Calibri" w:hAnsi="Calibri"/>
                <w:b/>
                <w:sz w:val="20"/>
              </w:rPr>
              <w:t>Will the member have recurring access to vulnerable populations?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AF115A" w:rsidRPr="00736D8F" w:rsidRDefault="00AF115A" w:rsidP="00EB0511">
            <w:pPr>
              <w:numPr>
                <w:ilvl w:val="0"/>
                <w:numId w:val="9"/>
              </w:numPr>
              <w:ind w:left="522"/>
              <w:contextualSpacing/>
              <w:jc w:val="center"/>
              <w:rPr>
                <w:rFonts w:ascii="Calibri" w:eastAsia="Calibri" w:hAnsi="Calibri"/>
                <w:sz w:val="18"/>
              </w:rPr>
            </w:pPr>
            <w:r w:rsidRPr="00736D8F">
              <w:rPr>
                <w:rFonts w:ascii="Calibri" w:eastAsia="Calibri" w:hAnsi="Calibri"/>
                <w:sz w:val="18"/>
              </w:rPr>
              <w:t>Yes</w: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AF115A" w:rsidRPr="00736D8F" w:rsidRDefault="00AF115A" w:rsidP="00EB0511">
            <w:pPr>
              <w:numPr>
                <w:ilvl w:val="0"/>
                <w:numId w:val="9"/>
              </w:numPr>
              <w:ind w:left="522"/>
              <w:contextualSpacing/>
              <w:rPr>
                <w:rFonts w:ascii="Calibri" w:eastAsia="Calibri" w:hAnsi="Calibri"/>
                <w:sz w:val="18"/>
              </w:rPr>
            </w:pPr>
            <w:r w:rsidRPr="00736D8F">
              <w:rPr>
                <w:rFonts w:ascii="Calibri" w:eastAsia="Calibri" w:hAnsi="Calibri"/>
                <w:sz w:val="18"/>
              </w:rPr>
              <w:t>No</w:t>
            </w:r>
          </w:p>
        </w:tc>
      </w:tr>
      <w:tr w:rsidR="00AF115A" w:rsidRPr="00736D8F" w:rsidTr="00EB0511">
        <w:tc>
          <w:tcPr>
            <w:tcW w:w="829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F115A" w:rsidRPr="006D1050" w:rsidRDefault="00AF115A" w:rsidP="00EB0511">
            <w:pPr>
              <w:jc w:val="right"/>
              <w:rPr>
                <w:rFonts w:ascii="Calibri" w:eastAsia="Calibri" w:hAnsi="Calibri"/>
                <w:i/>
                <w:sz w:val="20"/>
              </w:rPr>
            </w:pPr>
            <w:r w:rsidRPr="006D1050">
              <w:rPr>
                <w:rFonts w:ascii="Calibri" w:eastAsia="Calibri" w:hAnsi="Calibri"/>
                <w:i/>
                <w:sz w:val="20"/>
              </w:rPr>
              <w:t>Supervisor Initials for verification:</w:t>
            </w:r>
          </w:p>
        </w:tc>
        <w:tc>
          <w:tcPr>
            <w:tcW w:w="2718" w:type="dxa"/>
            <w:gridSpan w:val="2"/>
          </w:tcPr>
          <w:p w:rsidR="00AF115A" w:rsidRPr="00736D8F" w:rsidRDefault="00AF115A" w:rsidP="00EB0511">
            <w:pPr>
              <w:rPr>
                <w:rFonts w:ascii="Calibri" w:eastAsia="Calibri" w:hAnsi="Calibri"/>
                <w:sz w:val="18"/>
              </w:rPr>
            </w:pPr>
          </w:p>
        </w:tc>
      </w:tr>
    </w:tbl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DB3A00" w:rsidRPr="00DB3A00" w:rsidRDefault="00DB3A00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  <w:r w:rsidRPr="00DB3A00">
        <w:rPr>
          <w:rFonts w:ascii="Arvo" w:eastAsia="Times New Roman" w:hAnsi="Arvo" w:cs="Times New Roman"/>
          <w:b/>
          <w:sz w:val="20"/>
          <w:szCs w:val="20"/>
        </w:rPr>
        <w:t>Summary</w:t>
      </w:r>
    </w:p>
    <w:p w:rsidR="00DC7061" w:rsidRPr="00DC7061" w:rsidRDefault="00DC7061" w:rsidP="00DC7061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DC7061">
        <w:rPr>
          <w:rFonts w:ascii="Arvo" w:eastAsia="Times New Roman" w:hAnsi="Arvo" w:cs="Times New Roman"/>
          <w:sz w:val="20"/>
          <w:szCs w:val="20"/>
        </w:rPr>
        <w:t xml:space="preserve">This AmeriCorps volunteer position requires a self-directed, deadline-oriented individual who has exceptional interpersonal skills and is able to </w:t>
      </w:r>
      <w:r>
        <w:rPr>
          <w:rFonts w:ascii="Arvo" w:eastAsia="Times New Roman" w:hAnsi="Arvo" w:cs="Times New Roman"/>
          <w:sz w:val="20"/>
          <w:szCs w:val="20"/>
        </w:rPr>
        <w:t xml:space="preserve">provide specialty skills to </w:t>
      </w:r>
      <w:r w:rsidRPr="00DC7061">
        <w:rPr>
          <w:rFonts w:ascii="Arvo" w:eastAsia="Times New Roman" w:hAnsi="Arvo" w:cs="Times New Roman"/>
          <w:sz w:val="20"/>
          <w:szCs w:val="20"/>
        </w:rPr>
        <w:t xml:space="preserve">their local community. </w:t>
      </w:r>
      <w:r>
        <w:rPr>
          <w:rFonts w:ascii="Arvo" w:eastAsia="Times New Roman" w:hAnsi="Arvo" w:cs="Times New Roman"/>
          <w:sz w:val="20"/>
          <w:szCs w:val="20"/>
        </w:rPr>
        <w:t>Select the all capacity building activities that apply to the member’s activities and then submit this form to Iowa Campus Compact.</w:t>
      </w:r>
    </w:p>
    <w:p w:rsidR="00DB3A00" w:rsidRDefault="00DB3A00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DB3A00" w:rsidRDefault="00DB3A00" w:rsidP="00DC7061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t>AmeriCorps Duties &amp; Responsibilities</w:t>
      </w:r>
    </w:p>
    <w:p w:rsidR="00DB3A00" w:rsidRDefault="00752C61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752C61">
        <w:rPr>
          <w:rFonts w:ascii="Arvo" w:eastAsia="Times New Roman" w:hAnsi="Arvo" w:cs="Times New Roman"/>
          <w:sz w:val="20"/>
          <w:szCs w:val="20"/>
        </w:rPr>
        <w:t xml:space="preserve">Select your </w:t>
      </w:r>
      <w:r>
        <w:rPr>
          <w:rFonts w:ascii="Arvo" w:eastAsia="Times New Roman" w:hAnsi="Arvo" w:cs="Times New Roman"/>
          <w:sz w:val="20"/>
          <w:szCs w:val="20"/>
        </w:rPr>
        <w:t xml:space="preserve">capacity building </w:t>
      </w:r>
      <w:r w:rsidRPr="00752C61">
        <w:rPr>
          <w:rFonts w:ascii="Arvo" w:eastAsia="Times New Roman" w:hAnsi="Arvo" w:cs="Times New Roman"/>
          <w:sz w:val="20"/>
          <w:szCs w:val="20"/>
        </w:rPr>
        <w:t xml:space="preserve">activities </w:t>
      </w:r>
      <w:r>
        <w:rPr>
          <w:rFonts w:ascii="Arvo" w:eastAsia="Times New Roman" w:hAnsi="Arvo" w:cs="Times New Roman"/>
          <w:sz w:val="20"/>
          <w:szCs w:val="20"/>
        </w:rPr>
        <w:t>from the following list.</w:t>
      </w:r>
    </w:p>
    <w:p w:rsidR="00752C61" w:rsidRDefault="00752C61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23439" w:rsidRPr="004A7A1A" w:rsidTr="00966FFC">
        <w:trPr>
          <w:trHeight w:val="522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923439" w:rsidRPr="008D065D" w:rsidRDefault="000029E4" w:rsidP="000029E4">
            <w:pPr>
              <w:rPr>
                <w:rFonts w:ascii="Arvo" w:hAnsi="Arvo"/>
                <w:i/>
                <w:sz w:val="28"/>
                <w:szCs w:val="28"/>
              </w:rPr>
            </w:pPr>
            <w:r>
              <w:rPr>
                <w:rFonts w:ascii="Arvo" w:hAnsi="Arvo"/>
                <w:i/>
                <w:sz w:val="28"/>
                <w:szCs w:val="28"/>
              </w:rPr>
              <w:t xml:space="preserve">Training, </w:t>
            </w:r>
            <w:r w:rsidR="00923439" w:rsidRPr="008D065D">
              <w:rPr>
                <w:rFonts w:ascii="Arvo" w:hAnsi="Arvo"/>
                <w:i/>
                <w:sz w:val="28"/>
                <w:szCs w:val="28"/>
              </w:rPr>
              <w:t>Program</w:t>
            </w:r>
            <w:r>
              <w:rPr>
                <w:rFonts w:ascii="Arvo" w:hAnsi="Arvo"/>
                <w:i/>
                <w:sz w:val="28"/>
                <w:szCs w:val="28"/>
              </w:rPr>
              <w:t>, and event</w:t>
            </w:r>
            <w:r w:rsidR="00923439" w:rsidRPr="008D065D">
              <w:rPr>
                <w:rFonts w:ascii="Arvo" w:hAnsi="Arvo"/>
                <w:i/>
                <w:sz w:val="28"/>
                <w:szCs w:val="28"/>
              </w:rPr>
              <w:t xml:space="preserve"> Development</w:t>
            </w:r>
          </w:p>
        </w:tc>
      </w:tr>
      <w:tr w:rsidR="00923439" w:rsidRPr="004A7A1A" w:rsidTr="00966FFC"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Organize staff or volunteer training workshops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new training modules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curriculum for new or existing program(s)</w:t>
            </w:r>
            <w:r w:rsidR="000029E4">
              <w:rPr>
                <w:rFonts w:ascii="Arvo" w:hAnsi="Arvo"/>
              </w:rPr>
              <w:t>/event(s)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operations manual for new or existing program(s)</w:t>
            </w:r>
            <w:r w:rsidR="000029E4">
              <w:rPr>
                <w:rFonts w:ascii="Arvo" w:hAnsi="Arvo"/>
              </w:rPr>
              <w:t>/event(s)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or implement new programs</w:t>
            </w:r>
            <w:r w:rsidR="000029E4">
              <w:rPr>
                <w:rFonts w:ascii="Arvo" w:hAnsi="Arvo"/>
              </w:rPr>
              <w:t>/events</w:t>
            </w:r>
          </w:p>
        </w:tc>
      </w:tr>
    </w:tbl>
    <w:p w:rsidR="00752C61" w:rsidRPr="00966FFC" w:rsidRDefault="00752C61" w:rsidP="004A7A1A">
      <w:pPr>
        <w:spacing w:after="0" w:line="240" w:lineRule="auto"/>
        <w:rPr>
          <w:rFonts w:ascii="Arvo" w:eastAsia="Times New Roman" w:hAnsi="Arvo" w:cs="Times New Roman"/>
          <w:i/>
          <w:sz w:val="12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23439" w:rsidRPr="004A7A1A" w:rsidTr="00966FFC">
        <w:trPr>
          <w:trHeight w:val="450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923439" w:rsidRPr="008D065D" w:rsidRDefault="00923439" w:rsidP="00966FFC">
            <w:pPr>
              <w:rPr>
                <w:rFonts w:ascii="Arvo" w:hAnsi="Arvo"/>
                <w:sz w:val="28"/>
                <w:szCs w:val="28"/>
              </w:rPr>
            </w:pPr>
            <w:r w:rsidRPr="008D065D">
              <w:rPr>
                <w:rFonts w:ascii="Arvo" w:hAnsi="Arvo"/>
                <w:i/>
                <w:sz w:val="28"/>
                <w:szCs w:val="28"/>
              </w:rPr>
              <w:t>Fundraising</w:t>
            </w:r>
            <w:r w:rsidRPr="008D065D">
              <w:rPr>
                <w:rFonts w:ascii="Arvo" w:hAnsi="Arvo"/>
                <w:sz w:val="28"/>
                <w:szCs w:val="28"/>
              </w:rPr>
              <w:t xml:space="preserve"> </w:t>
            </w:r>
          </w:p>
        </w:tc>
      </w:tr>
      <w:tr w:rsidR="00966FFC" w:rsidRPr="00966FFC" w:rsidTr="002D0646">
        <w:trPr>
          <w:trHeight w:val="882"/>
        </w:trPr>
        <w:tc>
          <w:tcPr>
            <w:tcW w:w="10260" w:type="dxa"/>
            <w:gridSpan w:val="2"/>
          </w:tcPr>
          <w:p w:rsidR="00966FFC" w:rsidRPr="00966FFC" w:rsidRDefault="00966FFC" w:rsidP="00FD137B">
            <w:pPr>
              <w:rPr>
                <w:rFonts w:ascii="Arvo" w:hAnsi="Arvo"/>
                <w:sz w:val="32"/>
              </w:rPr>
            </w:pPr>
            <w:r w:rsidRPr="002D0646">
              <w:rPr>
                <w:rFonts w:ascii="Arvo" w:hAnsi="Arvo"/>
              </w:rPr>
              <w:t>ICAP members are not allowed to serve more than 10% of their total hours performing fundraising activities. Therefore, you must select additional activities beyond those listed in the fundraising category.</w:t>
            </w:r>
          </w:p>
        </w:tc>
      </w:tr>
      <w:tr w:rsidR="00923439" w:rsidRPr="004A7A1A" w:rsidTr="00966FFC"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Organize/support fundraising events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Identify grant or other funding sources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Write grants</w:t>
            </w:r>
          </w:p>
        </w:tc>
      </w:tr>
    </w:tbl>
    <w:p w:rsidR="00752C61" w:rsidRPr="00966FFC" w:rsidRDefault="00752C61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23439" w:rsidRPr="004A7A1A" w:rsidTr="00966FFC">
        <w:trPr>
          <w:trHeight w:val="522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923439" w:rsidRPr="008D065D" w:rsidRDefault="00923439" w:rsidP="00966FFC">
            <w:pPr>
              <w:rPr>
                <w:rFonts w:ascii="Arvo" w:hAnsi="Arvo"/>
                <w:i/>
                <w:sz w:val="28"/>
                <w:szCs w:val="28"/>
              </w:rPr>
            </w:pPr>
            <w:r w:rsidRPr="008D065D">
              <w:rPr>
                <w:rFonts w:ascii="Arvo" w:hAnsi="Arvo"/>
                <w:i/>
                <w:sz w:val="28"/>
                <w:szCs w:val="28"/>
              </w:rPr>
              <w:t>Communications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Website and social media development:</w:t>
            </w:r>
            <w:r w:rsidRPr="004A7A1A">
              <w:rPr>
                <w:rFonts w:ascii="Arvo" w:hAnsi="Arvo"/>
              </w:rPr>
              <w:t xml:space="preserve"> Assistance with website or social media</w:t>
            </w:r>
          </w:p>
        </w:tc>
      </w:tr>
      <w:tr w:rsidR="00923439" w:rsidRPr="004A7A1A" w:rsidTr="00966FFC">
        <w:trPr>
          <w:trHeight w:val="756"/>
        </w:trPr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External website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Facebook/Google+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Twitter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Blog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Web-based community forum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webinars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Communications:</w:t>
            </w:r>
            <w:r w:rsidRPr="004A7A1A">
              <w:rPr>
                <w:rFonts w:ascii="Arvo" w:hAnsi="Arvo"/>
              </w:rPr>
              <w:t xml:space="preserve"> Setting up or improving on-going communications with partners or volunteers, including: </w:t>
            </w:r>
          </w:p>
        </w:tc>
      </w:tr>
      <w:tr w:rsidR="00923439" w:rsidRPr="004A7A1A" w:rsidTr="00966FFC">
        <w:trPr>
          <w:trHeight w:val="765"/>
        </w:trPr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e-mail lists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document sharing platform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basic wiki page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identifying potential partners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brochures, newsletter, marketing materials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Meeting logistics and support:</w:t>
            </w:r>
            <w:r w:rsidRPr="004A7A1A">
              <w:rPr>
                <w:rFonts w:ascii="Arvo" w:hAnsi="Arvo"/>
              </w:rPr>
              <w:t xml:space="preserve"> Assistance with organizational or networking meetings or community forums</w:t>
            </w:r>
            <w:r w:rsidR="00222EE4">
              <w:rPr>
                <w:rFonts w:ascii="Arvo" w:hAnsi="Arvo"/>
              </w:rPr>
              <w:t xml:space="preserve">. </w:t>
            </w:r>
            <w:r w:rsidR="00222EE4" w:rsidRPr="002D0646">
              <w:rPr>
                <w:rFonts w:ascii="Arvo" w:hAnsi="Arvo"/>
                <w:i/>
              </w:rPr>
              <w:t>You must select additional services beyond those in this section</w:t>
            </w:r>
            <w:r w:rsidRPr="004A7A1A">
              <w:rPr>
                <w:rFonts w:ascii="Arvo" w:hAnsi="Arvo"/>
              </w:rPr>
              <w:t xml:space="preserve">: </w:t>
            </w:r>
          </w:p>
        </w:tc>
      </w:tr>
      <w:tr w:rsidR="00923439" w:rsidRPr="004A7A1A" w:rsidTr="00966FFC"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Managing invitations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Finding meeting space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Taking meeting minutes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Follow-up mailings</w:t>
            </w:r>
          </w:p>
        </w:tc>
      </w:tr>
    </w:tbl>
    <w:p w:rsidR="00752C61" w:rsidRDefault="00752C61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Default="00AF115A">
      <w:pPr>
        <w:rPr>
          <w:rFonts w:ascii="Arvo" w:eastAsia="Times New Roman" w:hAnsi="Arvo" w:cs="Times New Roman"/>
          <w:sz w:val="12"/>
          <w:szCs w:val="20"/>
        </w:rPr>
      </w:pPr>
      <w:r>
        <w:rPr>
          <w:rFonts w:ascii="Arvo" w:eastAsia="Times New Roman" w:hAnsi="Arvo" w:cs="Times New Roman"/>
          <w:sz w:val="12"/>
          <w:szCs w:val="20"/>
        </w:rPr>
        <w:br w:type="page"/>
      </w:r>
    </w:p>
    <w:p w:rsidR="00AF115A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p w:rsidR="00AF115A" w:rsidRPr="00966FFC" w:rsidRDefault="00AF115A" w:rsidP="004A7A1A">
      <w:pPr>
        <w:spacing w:after="0" w:line="240" w:lineRule="auto"/>
        <w:rPr>
          <w:rFonts w:ascii="Arvo" w:eastAsia="Times New Roman" w:hAnsi="Arvo" w:cs="Times New Roman"/>
          <w:sz w:val="12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23439" w:rsidRPr="004A7A1A" w:rsidTr="00966FFC">
        <w:trPr>
          <w:trHeight w:val="576"/>
        </w:trPr>
        <w:tc>
          <w:tcPr>
            <w:tcW w:w="10260" w:type="dxa"/>
            <w:gridSpan w:val="2"/>
            <w:shd w:val="clear" w:color="auto" w:fill="BFBFBF" w:themeFill="background1" w:themeFillShade="BF"/>
            <w:vAlign w:val="center"/>
          </w:tcPr>
          <w:p w:rsidR="00923439" w:rsidRPr="008D065D" w:rsidRDefault="00923439" w:rsidP="00966FFC">
            <w:pPr>
              <w:rPr>
                <w:rFonts w:ascii="Arvo" w:hAnsi="Arvo"/>
                <w:i/>
                <w:sz w:val="28"/>
                <w:szCs w:val="28"/>
              </w:rPr>
            </w:pPr>
            <w:r w:rsidRPr="008D065D">
              <w:rPr>
                <w:rFonts w:ascii="Arvo" w:hAnsi="Arvo"/>
                <w:i/>
                <w:sz w:val="28"/>
                <w:szCs w:val="28"/>
              </w:rPr>
              <w:t>Research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Community-based Research:</w:t>
            </w:r>
            <w:r w:rsidRPr="004A7A1A">
              <w:rPr>
                <w:rFonts w:ascii="Arvo" w:hAnsi="Arvo"/>
              </w:rPr>
              <w:t xml:space="preserve"> Carrying out community-based research project(s), including:</w:t>
            </w:r>
          </w:p>
        </w:tc>
      </w:tr>
      <w:tr w:rsidR="00923439" w:rsidRPr="004A7A1A" w:rsidTr="00966FFC">
        <w:trPr>
          <w:trHeight w:val="1008"/>
        </w:trPr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Surveys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Data Analysis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GIS Mapping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Oral Histories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Program assessments or evaluations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Data collection for tracking/reporting</w:t>
            </w:r>
          </w:p>
          <w:p w:rsidR="00923439" w:rsidRPr="004A7A1A" w:rsidRDefault="00923439" w:rsidP="00FD137B">
            <w:pPr>
              <w:numPr>
                <w:ilvl w:val="0"/>
                <w:numId w:val="1"/>
              </w:numPr>
              <w:ind w:left="522"/>
              <w:contextualSpacing/>
              <w:rPr>
                <w:rFonts w:ascii="Arvo" w:hAnsi="Arvo"/>
              </w:rPr>
            </w:pPr>
            <w:r w:rsidRPr="004A7A1A">
              <w:rPr>
                <w:rFonts w:ascii="Arvo" w:hAnsi="Arvo"/>
              </w:rPr>
              <w:t>Develop or improve database</w:t>
            </w:r>
          </w:p>
        </w:tc>
      </w:tr>
      <w:tr w:rsidR="00923439" w:rsidRPr="004A7A1A" w:rsidTr="00966FFC">
        <w:tc>
          <w:tcPr>
            <w:tcW w:w="10260" w:type="dxa"/>
            <w:gridSpan w:val="2"/>
          </w:tcPr>
          <w:p w:rsidR="00923439" w:rsidRPr="004A7A1A" w:rsidRDefault="00923439" w:rsidP="00FD137B">
            <w:pPr>
              <w:rPr>
                <w:rFonts w:ascii="Arvo" w:hAnsi="Arvo"/>
              </w:rPr>
            </w:pPr>
            <w:r w:rsidRPr="004A7A1A">
              <w:rPr>
                <w:rFonts w:ascii="Arvo" w:hAnsi="Arvo"/>
                <w:u w:val="single"/>
              </w:rPr>
              <w:t>Policy research:</w:t>
            </w:r>
            <w:r w:rsidRPr="004A7A1A">
              <w:rPr>
                <w:rFonts w:ascii="Arvo" w:hAnsi="Arvo"/>
              </w:rPr>
              <w:t xml:space="preserve"> Carrying out policy or program research on: </w:t>
            </w:r>
          </w:p>
        </w:tc>
      </w:tr>
      <w:tr w:rsidR="00923439" w:rsidRPr="004A7A1A" w:rsidTr="00966FFC"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Issue briefs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Funding opportunities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Current studies or evaluations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Evidence-based practices/model programs</w:t>
            </w:r>
          </w:p>
        </w:tc>
        <w:tc>
          <w:tcPr>
            <w:tcW w:w="5130" w:type="dxa"/>
          </w:tcPr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Organizations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Regulations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Legislation</w:t>
            </w:r>
          </w:p>
          <w:p w:rsidR="00923439" w:rsidRPr="004A7A1A" w:rsidRDefault="00923439" w:rsidP="00FD137B">
            <w:pPr>
              <w:numPr>
                <w:ilvl w:val="0"/>
                <w:numId w:val="2"/>
              </w:numPr>
              <w:ind w:left="522"/>
              <w:contextualSpacing/>
              <w:rPr>
                <w:rFonts w:ascii="Arvo" w:hAnsi="Arvo"/>
                <w:szCs w:val="18"/>
              </w:rPr>
            </w:pPr>
            <w:r w:rsidRPr="004A7A1A">
              <w:rPr>
                <w:rFonts w:ascii="Arvo" w:hAnsi="Arvo"/>
                <w:szCs w:val="18"/>
              </w:rPr>
              <w:t>Identifying upcoming meetings/conferences</w:t>
            </w:r>
          </w:p>
        </w:tc>
      </w:tr>
    </w:tbl>
    <w:p w:rsidR="00966FFC" w:rsidRDefault="00966FFC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DC7061" w:rsidRDefault="00DC7061" w:rsidP="004A7A1A">
      <w:pPr>
        <w:spacing w:after="0"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162101" w:rsidRDefault="00162101" w:rsidP="00DC7061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t>Additional Activities</w:t>
      </w:r>
    </w:p>
    <w:p w:rsidR="007A47FB" w:rsidRPr="007A47FB" w:rsidRDefault="007A47FB" w:rsidP="007A47FB">
      <w:pPr>
        <w:pStyle w:val="ListParagraph"/>
        <w:numPr>
          <w:ilvl w:val="0"/>
          <w:numId w:val="5"/>
        </w:numPr>
        <w:rPr>
          <w:rFonts w:ascii="Arvo" w:hAnsi="Arvo"/>
          <w:sz w:val="20"/>
          <w:szCs w:val="18"/>
        </w:rPr>
      </w:pPr>
      <w:r w:rsidRPr="007A47FB">
        <w:rPr>
          <w:rFonts w:ascii="Arvo" w:hAnsi="Arvo"/>
          <w:sz w:val="20"/>
          <w:szCs w:val="18"/>
        </w:rPr>
        <w:t>Provides direct services</w:t>
      </w:r>
      <w:r w:rsidRPr="007A47FB">
        <w:rPr>
          <w:rStyle w:val="EndnoteReference"/>
          <w:rFonts w:ascii="Arvo" w:hAnsi="Arvo"/>
          <w:sz w:val="20"/>
          <w:szCs w:val="18"/>
        </w:rPr>
        <w:endnoteReference w:id="1"/>
      </w:r>
      <w:r w:rsidRPr="007A47FB">
        <w:rPr>
          <w:rFonts w:ascii="Arvo" w:hAnsi="Arvo"/>
          <w:sz w:val="20"/>
          <w:szCs w:val="18"/>
        </w:rPr>
        <w:t xml:space="preserve"> when appropriate in order to enhance program delivery</w:t>
      </w:r>
    </w:p>
    <w:p w:rsidR="00162101" w:rsidRPr="00400D3C" w:rsidRDefault="00162101" w:rsidP="00162101">
      <w:pPr>
        <w:pStyle w:val="ListParagraph"/>
        <w:numPr>
          <w:ilvl w:val="0"/>
          <w:numId w:val="5"/>
        </w:numPr>
        <w:rPr>
          <w:rFonts w:ascii="Arvo" w:hAnsi="Arvo"/>
          <w:sz w:val="20"/>
          <w:szCs w:val="20"/>
        </w:rPr>
      </w:pPr>
      <w:r w:rsidRPr="00400D3C">
        <w:rPr>
          <w:rFonts w:ascii="Arvo" w:hAnsi="Arvo"/>
          <w:sz w:val="20"/>
          <w:szCs w:val="20"/>
        </w:rPr>
        <w:t>Develops and/or participates service projects for Days of Service</w:t>
      </w:r>
      <w:r w:rsidR="004543BF">
        <w:rPr>
          <w:rStyle w:val="EndnoteReference"/>
          <w:rFonts w:ascii="Arvo" w:hAnsi="Arvo"/>
          <w:sz w:val="20"/>
          <w:szCs w:val="20"/>
        </w:rPr>
        <w:endnoteReference w:id="2"/>
      </w:r>
      <w:r w:rsidR="004543BF">
        <w:rPr>
          <w:rFonts w:ascii="Arvo" w:hAnsi="Arvo"/>
          <w:sz w:val="20"/>
          <w:szCs w:val="20"/>
        </w:rPr>
        <w:t xml:space="preserve"> </w:t>
      </w:r>
      <w:r w:rsidRPr="00400D3C">
        <w:rPr>
          <w:rFonts w:ascii="Arvo" w:hAnsi="Arvo"/>
          <w:sz w:val="20"/>
          <w:szCs w:val="20"/>
        </w:rPr>
        <w:t>events</w:t>
      </w:r>
    </w:p>
    <w:p w:rsidR="00162101" w:rsidRDefault="00162101" w:rsidP="00162101">
      <w:pPr>
        <w:pStyle w:val="ListParagraph"/>
        <w:numPr>
          <w:ilvl w:val="0"/>
          <w:numId w:val="5"/>
        </w:numPr>
        <w:rPr>
          <w:rFonts w:ascii="Arvo" w:hAnsi="Arvo"/>
          <w:sz w:val="20"/>
          <w:szCs w:val="20"/>
        </w:rPr>
      </w:pPr>
      <w:r w:rsidRPr="00400D3C">
        <w:rPr>
          <w:rFonts w:ascii="Arvo" w:hAnsi="Arvo"/>
          <w:sz w:val="20"/>
          <w:szCs w:val="20"/>
        </w:rPr>
        <w:t>Does not engage in any prohibited AmeriCorps activities</w:t>
      </w:r>
    </w:p>
    <w:p w:rsidR="00162101" w:rsidRPr="00162101" w:rsidRDefault="00162101" w:rsidP="00162101">
      <w:pPr>
        <w:pStyle w:val="ListParagraph"/>
        <w:numPr>
          <w:ilvl w:val="0"/>
          <w:numId w:val="5"/>
        </w:numPr>
        <w:rPr>
          <w:rFonts w:ascii="Arvo" w:hAnsi="Arvo"/>
          <w:sz w:val="20"/>
          <w:szCs w:val="20"/>
        </w:rPr>
      </w:pPr>
      <w:r w:rsidRPr="00400D3C">
        <w:rPr>
          <w:rFonts w:ascii="Arvo" w:hAnsi="Arvo"/>
          <w:sz w:val="20"/>
          <w:szCs w:val="20"/>
        </w:rPr>
        <w:t>Serves as a liaison between their campus and the community partner site</w:t>
      </w:r>
    </w:p>
    <w:p w:rsidR="00DB3A00" w:rsidRDefault="00DB3A00" w:rsidP="00DC7061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t>Contributes to the following Performance Measures</w:t>
      </w:r>
    </w:p>
    <w:p w:rsidR="00923439" w:rsidRPr="00923439" w:rsidRDefault="00923439" w:rsidP="00923439">
      <w:pPr>
        <w:numPr>
          <w:ilvl w:val="0"/>
          <w:numId w:val="4"/>
        </w:num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923439">
        <w:rPr>
          <w:rFonts w:ascii="Arvo" w:eastAsia="Times New Roman" w:hAnsi="Arvo" w:cs="Times New Roman"/>
          <w:sz w:val="20"/>
          <w:szCs w:val="20"/>
        </w:rPr>
        <w:t>The member successfully completes at least one (1) service project</w:t>
      </w:r>
    </w:p>
    <w:p w:rsidR="00923439" w:rsidRPr="00517B7D" w:rsidRDefault="00517B7D" w:rsidP="00517B7D">
      <w:pPr>
        <w:pStyle w:val="ListParagraph"/>
        <w:numPr>
          <w:ilvl w:val="0"/>
          <w:numId w:val="4"/>
        </w:numPr>
        <w:spacing w:after="0"/>
        <w:rPr>
          <w:rFonts w:ascii="Arvo" w:hAnsi="Arvo"/>
          <w:sz w:val="18"/>
          <w:szCs w:val="18"/>
        </w:rPr>
      </w:pPr>
      <w:r>
        <w:rPr>
          <w:rFonts w:ascii="Arvo" w:hAnsi="Arvo"/>
          <w:sz w:val="18"/>
          <w:szCs w:val="18"/>
        </w:rPr>
        <w:t>Collects and records pre- and post-service survey responses from their service site supervisor</w:t>
      </w:r>
    </w:p>
    <w:p w:rsidR="00DB3A00" w:rsidRDefault="00DB3A00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AF115A" w:rsidRDefault="00AF115A" w:rsidP="00AF115A">
      <w:pPr>
        <w:spacing w:after="0"/>
        <w:rPr>
          <w:rFonts w:ascii="Arvo" w:hAnsi="Arvo"/>
          <w:b/>
          <w:sz w:val="18"/>
          <w:szCs w:val="18"/>
        </w:rPr>
      </w:pPr>
      <w:r w:rsidRPr="00BA53C2">
        <w:rPr>
          <w:rFonts w:ascii="Arvo" w:hAnsi="Arvo"/>
          <w:b/>
          <w:sz w:val="20"/>
          <w:szCs w:val="20"/>
        </w:rPr>
        <w:t>Benefits</w:t>
      </w:r>
    </w:p>
    <w:p w:rsidR="00AF115A" w:rsidRPr="00AF115A" w:rsidRDefault="00AF115A" w:rsidP="00AF115A">
      <w:pPr>
        <w:numPr>
          <w:ilvl w:val="0"/>
          <w:numId w:val="10"/>
        </w:numPr>
        <w:spacing w:after="0" w:line="276" w:lineRule="auto"/>
        <w:rPr>
          <w:rFonts w:ascii="Arvo" w:hAnsi="Arvo"/>
          <w:sz w:val="20"/>
          <w:szCs w:val="18"/>
        </w:rPr>
      </w:pPr>
      <w:r w:rsidRPr="00AF115A">
        <w:rPr>
          <w:rFonts w:ascii="Arvo" w:hAnsi="Arvo"/>
          <w:sz w:val="20"/>
          <w:szCs w:val="18"/>
        </w:rPr>
        <w:t>Upon successful completion of the full term of service, the Member will receive an education award of $1,212 for minimum time (300 hours) or $1,515 for quarter time (450 hours), from the National Service Trust. The Member understands that his/her failure to disclose to the program any history of having been released for cause from another AmeriCorps program will render the Member ineligible to receive the education award.</w:t>
      </w:r>
    </w:p>
    <w:p w:rsidR="00AF115A" w:rsidRPr="00AF115A" w:rsidRDefault="00AF115A" w:rsidP="00AF115A">
      <w:pPr>
        <w:numPr>
          <w:ilvl w:val="0"/>
          <w:numId w:val="10"/>
        </w:numPr>
        <w:spacing w:after="0" w:line="276" w:lineRule="auto"/>
        <w:rPr>
          <w:rFonts w:ascii="Arvo" w:hAnsi="Arvo"/>
          <w:sz w:val="20"/>
          <w:szCs w:val="18"/>
        </w:rPr>
      </w:pPr>
      <w:r w:rsidRPr="00AF115A">
        <w:rPr>
          <w:rFonts w:ascii="Arvo" w:hAnsi="Arvo"/>
          <w:sz w:val="20"/>
          <w:szCs w:val="18"/>
        </w:rPr>
        <w:t>If the Member has received forbearance on a qualified student loan during the term of service, and the Member successfully completes the term of service, the National Service Trust will repay a portion of the interest that accrued on the loan during the term of service according to hours served.</w:t>
      </w:r>
    </w:p>
    <w:p w:rsidR="00AF115A" w:rsidRDefault="00AF115A">
      <w:pPr>
        <w:rPr>
          <w:rFonts w:ascii="Arvo" w:eastAsia="Times New Roman" w:hAnsi="Arvo" w:cs="Times New Roman"/>
          <w:sz w:val="20"/>
          <w:szCs w:val="20"/>
        </w:rPr>
      </w:pPr>
    </w:p>
    <w:p w:rsidR="00AF115A" w:rsidRDefault="00AF115A">
      <w:pPr>
        <w:rPr>
          <w:rFonts w:ascii="Arvo" w:eastAsia="Times New Roman" w:hAnsi="Arvo" w:cs="Times New Roman"/>
          <w:b/>
          <w:sz w:val="20"/>
          <w:szCs w:val="20"/>
        </w:rPr>
      </w:pPr>
      <w:r>
        <w:rPr>
          <w:rFonts w:ascii="Arvo" w:eastAsia="Times New Roman" w:hAnsi="Arvo" w:cs="Times New Roman"/>
          <w:b/>
          <w:sz w:val="20"/>
          <w:szCs w:val="20"/>
        </w:rPr>
        <w:br w:type="page"/>
      </w:r>
    </w:p>
    <w:p w:rsidR="00AF115A" w:rsidRDefault="00AF115A" w:rsidP="00966FFC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</w:p>
    <w:p w:rsidR="00DB3A00" w:rsidRPr="004A7A1A" w:rsidRDefault="00DB3A00" w:rsidP="00966FFC">
      <w:pPr>
        <w:spacing w:line="240" w:lineRule="auto"/>
        <w:rPr>
          <w:rFonts w:ascii="Arvo" w:eastAsia="Times New Roman" w:hAnsi="Arvo" w:cs="Times New Roman"/>
          <w:b/>
          <w:sz w:val="20"/>
          <w:szCs w:val="20"/>
        </w:rPr>
      </w:pPr>
      <w:bookmarkStart w:id="0" w:name="_GoBack"/>
      <w:bookmarkEnd w:id="0"/>
      <w:r>
        <w:rPr>
          <w:rFonts w:ascii="Arvo" w:eastAsia="Times New Roman" w:hAnsi="Arvo" w:cs="Times New Roman"/>
          <w:b/>
          <w:sz w:val="20"/>
          <w:szCs w:val="20"/>
        </w:rPr>
        <w:t>AmeriCorps Prohibited Activities</w:t>
      </w:r>
    </w:p>
    <w:p w:rsidR="00DB3A00" w:rsidRPr="00DB3A00" w:rsidRDefault="00DB3A00" w:rsidP="00DB3A00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  <w:r w:rsidRPr="00DB3A00">
        <w:rPr>
          <w:rFonts w:ascii="Arvo" w:eastAsia="Times New Roman" w:hAnsi="Arvo" w:cs="Times New Roman"/>
          <w:sz w:val="20"/>
          <w:szCs w:val="20"/>
        </w:rPr>
        <w:t>For a full list of program expectations and prohibited activities please view the ICAP member service agreement or the member handbook available on the ICAP website.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 xml:space="preserve">Attempting to influence legislation. 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Organizing or engaging in protests, petitions, boycotts or strikes.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Assisting, promoting or deterring union organizing.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 xml:space="preserve">Impairing existing contracts for services or collective bargaining. 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 xml:space="preserve">Engaging in partisan political activities that are likely to include advocacy for or against political parties, political platforms, political candidates, proposed legislation or elected officials. 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Engaging in religious instruction; conducting worship services; providing instruction as part of a program that includes mandatory religious instruction or worship; maintaining facilities primarily or inherently devoted to religious instruction or worship; or engaging in any form of religious proselytization.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Providing a direct benefit to: a for-profit entity; a labor union; a partisan political organization; an organization engaged in religious activities describe in the above listing #6, unless grant funds are not used to support religious activities; or a nonprofit entity that fails to comply with the restrictions contained in section 501c3 of US Code Title 26.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Voter registration drives.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Providing abortion services or referrals for receipt of such services.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Raising funds for his/her living allowance.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Raising funds for program operating expenses or endowment.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Writing grant applications for CNCS grants, including AmeriCorps.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76" w:lineRule="auto"/>
        <w:ind w:left="720"/>
        <w:rPr>
          <w:rFonts w:ascii="Arvo" w:hAnsi="Arvo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 xml:space="preserve">Writing </w:t>
      </w:r>
      <w:proofErr w:type="gramStart"/>
      <w:r w:rsidRPr="004C281D">
        <w:rPr>
          <w:rFonts w:ascii="Arvo" w:hAnsi="Arvo"/>
          <w:sz w:val="20"/>
          <w:szCs w:val="20"/>
        </w:rPr>
        <w:t>grant</w:t>
      </w:r>
      <w:proofErr w:type="gramEnd"/>
      <w:r w:rsidRPr="004C281D">
        <w:rPr>
          <w:rFonts w:ascii="Arvo" w:hAnsi="Arvo"/>
          <w:sz w:val="20"/>
          <w:szCs w:val="20"/>
        </w:rPr>
        <w:t xml:space="preserve"> applications for funding by other federal agencies.</w:t>
      </w:r>
    </w:p>
    <w:p w:rsidR="004C281D" w:rsidRPr="004C281D" w:rsidRDefault="004C281D" w:rsidP="004C281D">
      <w:pPr>
        <w:numPr>
          <w:ilvl w:val="0"/>
          <w:numId w:val="7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Members may not engage in any of the prohibited indirectly by recruiting, training, or managing others for the primary purpose of engaging in one of the activities above.</w:t>
      </w:r>
    </w:p>
    <w:p w:rsidR="004C281D" w:rsidRPr="004C281D" w:rsidRDefault="004C281D" w:rsidP="004C281D">
      <w:pPr>
        <w:numPr>
          <w:ilvl w:val="0"/>
          <w:numId w:val="7"/>
        </w:numPr>
        <w:spacing w:after="0" w:line="240" w:lineRule="auto"/>
        <w:ind w:left="720"/>
        <w:rPr>
          <w:rFonts w:ascii="Arvo" w:eastAsia="Times New Roman" w:hAnsi="Arvo" w:cs="Times New Roman"/>
          <w:sz w:val="20"/>
          <w:szCs w:val="20"/>
        </w:rPr>
      </w:pPr>
      <w:r w:rsidRPr="004C281D">
        <w:rPr>
          <w:rFonts w:ascii="Arvo" w:hAnsi="Arvo"/>
          <w:sz w:val="20"/>
          <w:szCs w:val="20"/>
        </w:rPr>
        <w:t>Other activities that CNCS and ICAP determine to be prohibited upon notice to the site.</w:t>
      </w:r>
    </w:p>
    <w:p w:rsidR="004A7A1A" w:rsidRPr="004A7A1A" w:rsidRDefault="004A7A1A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4A7A1A" w:rsidRPr="004A7A1A" w:rsidRDefault="004A7A1A" w:rsidP="004A7A1A">
      <w:pPr>
        <w:spacing w:after="0" w:line="240" w:lineRule="auto"/>
        <w:rPr>
          <w:rFonts w:ascii="Arvo" w:eastAsia="Times New Roman" w:hAnsi="Arvo" w:cs="Times New Roman"/>
          <w:sz w:val="20"/>
          <w:szCs w:val="20"/>
        </w:rPr>
      </w:pPr>
    </w:p>
    <w:p w:rsidR="00DE1922" w:rsidRDefault="00DE1922"/>
    <w:sectPr w:rsidR="00DE1922" w:rsidSect="004A7A1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3A" w:rsidRDefault="0035333A" w:rsidP="00DB3A00">
      <w:pPr>
        <w:spacing w:after="0" w:line="240" w:lineRule="auto"/>
      </w:pPr>
      <w:r>
        <w:separator/>
      </w:r>
    </w:p>
  </w:endnote>
  <w:endnote w:type="continuationSeparator" w:id="0">
    <w:p w:rsidR="0035333A" w:rsidRDefault="0035333A" w:rsidP="00DB3A00">
      <w:pPr>
        <w:spacing w:after="0" w:line="240" w:lineRule="auto"/>
      </w:pPr>
      <w:r>
        <w:continuationSeparator/>
      </w:r>
    </w:p>
  </w:endnote>
  <w:endnote w:id="1">
    <w:p w:rsidR="007A47FB" w:rsidRPr="00362554" w:rsidRDefault="007A47FB" w:rsidP="007A47FB">
      <w:pPr>
        <w:spacing w:after="0"/>
        <w:rPr>
          <w:rFonts w:ascii="Arvo" w:hAnsi="Arvo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362554">
        <w:rPr>
          <w:rFonts w:ascii="Arvo" w:hAnsi="Arvo"/>
          <w:sz w:val="16"/>
          <w:szCs w:val="16"/>
        </w:rPr>
        <w:t>Direct service includes tutoring, youth development, mentoring, collecting/serving food, other human services (not to include prohibited activities), fundraising (not to exceed 10% of a member's total hours), emergency response, collecting/distributing clothing, music, art.</w:t>
      </w:r>
    </w:p>
  </w:endnote>
  <w:endnote w:id="2">
    <w:p w:rsidR="004543BF" w:rsidRDefault="004543B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62101">
        <w:rPr>
          <w:rFonts w:ascii="Arvo" w:hAnsi="Arvo"/>
          <w:sz w:val="16"/>
          <w:szCs w:val="16"/>
        </w:rPr>
        <w:t>Days of Service are volunteering events which occur on -- or in the spirit of – Martin Luther King Day, AmeriCorps Week, September 11</w:t>
      </w:r>
      <w:r w:rsidRPr="00162101">
        <w:rPr>
          <w:rFonts w:ascii="Arvo" w:hAnsi="Arvo"/>
          <w:sz w:val="16"/>
          <w:szCs w:val="16"/>
          <w:vertAlign w:val="superscript"/>
        </w:rPr>
        <w:t>th</w:t>
      </w:r>
      <w:r w:rsidRPr="00162101">
        <w:rPr>
          <w:rFonts w:ascii="Arvo" w:hAnsi="Arvo"/>
          <w:sz w:val="16"/>
          <w:szCs w:val="16"/>
        </w:rPr>
        <w:t xml:space="preserve"> National Day of Service and Remembrance.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Ques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1" w:rsidRPr="00162101" w:rsidRDefault="00162101" w:rsidP="00162101">
    <w:pPr>
      <w:pStyle w:val="Footer"/>
      <w:rPr>
        <w:rFonts w:ascii="Arvo" w:hAnsi="Arvo"/>
        <w:sz w:val="16"/>
        <w:szCs w:val="16"/>
      </w:rPr>
    </w:pPr>
    <w:r w:rsidRPr="00162101">
      <w:rPr>
        <w:rFonts w:ascii="Arvo" w:hAnsi="Arv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3A" w:rsidRDefault="0035333A" w:rsidP="00DB3A00">
      <w:pPr>
        <w:spacing w:after="0" w:line="240" w:lineRule="auto"/>
      </w:pPr>
      <w:r>
        <w:separator/>
      </w:r>
    </w:p>
  </w:footnote>
  <w:footnote w:type="continuationSeparator" w:id="0">
    <w:p w:rsidR="0035333A" w:rsidRDefault="0035333A" w:rsidP="00DB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5A" w:rsidRDefault="00AF115A" w:rsidP="00AF115A">
    <w:pPr>
      <w:pStyle w:val="Header"/>
      <w:jc w:val="center"/>
      <w:rPr>
        <w:rFonts w:ascii="Questrial" w:hAnsi="Questrial"/>
        <w:sz w:val="28"/>
      </w:rPr>
    </w:pPr>
    <w:r>
      <w:rPr>
        <w:rFonts w:ascii="Questrial" w:hAnsi="Questrial"/>
        <w:sz w:val="28"/>
      </w:rPr>
      <w:t xml:space="preserve">IOWA COLLEGE AMERICORPS PROGRAM | </w:t>
    </w:r>
    <w:r>
      <w:rPr>
        <w:rFonts w:ascii="Questrial" w:hAnsi="Questrial"/>
        <w:sz w:val="28"/>
      </w:rPr>
      <w:t>CAPACITY SPECIALIST</w:t>
    </w:r>
  </w:p>
  <w:p w:rsidR="00DB3A00" w:rsidRPr="00AF115A" w:rsidRDefault="00AF115A" w:rsidP="00AF115A">
    <w:pPr>
      <w:pStyle w:val="Header"/>
      <w:jc w:val="center"/>
      <w:rPr>
        <w:rFonts w:ascii="Questrial" w:hAnsi="Questrial"/>
        <w:sz w:val="20"/>
      </w:rPr>
    </w:pPr>
    <w:r w:rsidRPr="006D1050">
      <w:rPr>
        <w:rFonts w:ascii="Questrial" w:hAnsi="Questrial"/>
        <w:sz w:val="20"/>
      </w:rPr>
      <w:t xml:space="preserve">Iowa Campus Compact, </w:t>
    </w:r>
    <w:proofErr w:type="spellStart"/>
    <w:r w:rsidRPr="006D1050">
      <w:rPr>
        <w:rFonts w:ascii="Questrial" w:hAnsi="Questrial"/>
        <w:sz w:val="20"/>
      </w:rPr>
      <w:t>Pappajohn</w:t>
    </w:r>
    <w:proofErr w:type="spellEnd"/>
    <w:r w:rsidRPr="006D1050">
      <w:rPr>
        <w:rFonts w:ascii="Questrial" w:hAnsi="Questrial"/>
        <w:sz w:val="20"/>
      </w:rPr>
      <w:t xml:space="preserve"> Education Center, 1200 Grand Ave, Ste. 200, Des Moines, Iowa 50309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EF4"/>
    <w:multiLevelType w:val="hybridMultilevel"/>
    <w:tmpl w:val="68BC883C"/>
    <w:lvl w:ilvl="0" w:tplc="337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571D6"/>
    <w:multiLevelType w:val="hybridMultilevel"/>
    <w:tmpl w:val="B82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D1C"/>
    <w:multiLevelType w:val="hybridMultilevel"/>
    <w:tmpl w:val="B5FE7728"/>
    <w:lvl w:ilvl="0" w:tplc="37C28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44B0"/>
    <w:multiLevelType w:val="hybridMultilevel"/>
    <w:tmpl w:val="CE1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19B4"/>
    <w:multiLevelType w:val="hybridMultilevel"/>
    <w:tmpl w:val="1218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A2B"/>
    <w:multiLevelType w:val="hybridMultilevel"/>
    <w:tmpl w:val="203ACF80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55C02"/>
    <w:multiLevelType w:val="hybridMultilevel"/>
    <w:tmpl w:val="5E4E7118"/>
    <w:lvl w:ilvl="0" w:tplc="416897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3C6A"/>
    <w:multiLevelType w:val="hybridMultilevel"/>
    <w:tmpl w:val="DE88839A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24794"/>
    <w:multiLevelType w:val="hybridMultilevel"/>
    <w:tmpl w:val="892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A"/>
    <w:rsid w:val="000029E4"/>
    <w:rsid w:val="00002ADB"/>
    <w:rsid w:val="00162101"/>
    <w:rsid w:val="00170ACA"/>
    <w:rsid w:val="00222EE4"/>
    <w:rsid w:val="002C3A0E"/>
    <w:rsid w:val="002D0646"/>
    <w:rsid w:val="0035333A"/>
    <w:rsid w:val="004543BF"/>
    <w:rsid w:val="004A7A1A"/>
    <w:rsid w:val="004C281D"/>
    <w:rsid w:val="00517B7D"/>
    <w:rsid w:val="005E5B07"/>
    <w:rsid w:val="00752C61"/>
    <w:rsid w:val="00754183"/>
    <w:rsid w:val="007A47FB"/>
    <w:rsid w:val="008D065D"/>
    <w:rsid w:val="00923439"/>
    <w:rsid w:val="00966FFC"/>
    <w:rsid w:val="00976D59"/>
    <w:rsid w:val="00AF115A"/>
    <w:rsid w:val="00AF694A"/>
    <w:rsid w:val="00B813CF"/>
    <w:rsid w:val="00DB3A00"/>
    <w:rsid w:val="00DC6049"/>
    <w:rsid w:val="00DC7061"/>
    <w:rsid w:val="00DE1922"/>
    <w:rsid w:val="00F94BA9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0"/>
  </w:style>
  <w:style w:type="paragraph" w:styleId="Footer">
    <w:name w:val="footer"/>
    <w:basedOn w:val="Normal"/>
    <w:link w:val="FooterChar"/>
    <w:uiPriority w:val="99"/>
    <w:unhideWhenUsed/>
    <w:rsid w:val="00DB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0"/>
  </w:style>
  <w:style w:type="paragraph" w:styleId="ListParagraph">
    <w:name w:val="List Paragraph"/>
    <w:basedOn w:val="Normal"/>
    <w:uiPriority w:val="34"/>
    <w:qFormat/>
    <w:rsid w:val="00162101"/>
    <w:pPr>
      <w:spacing w:after="200" w:line="27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43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43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43BF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AF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F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0"/>
  </w:style>
  <w:style w:type="paragraph" w:styleId="Footer">
    <w:name w:val="footer"/>
    <w:basedOn w:val="Normal"/>
    <w:link w:val="FooterChar"/>
    <w:uiPriority w:val="99"/>
    <w:unhideWhenUsed/>
    <w:rsid w:val="00DB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0"/>
  </w:style>
  <w:style w:type="paragraph" w:styleId="ListParagraph">
    <w:name w:val="List Paragraph"/>
    <w:basedOn w:val="Normal"/>
    <w:uiPriority w:val="34"/>
    <w:qFormat/>
    <w:rsid w:val="00162101"/>
    <w:pPr>
      <w:spacing w:after="200" w:line="27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43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43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43BF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AF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F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4070-65C6-4CC6-AAA5-D722B242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Justin Ellis</cp:lastModifiedBy>
  <cp:revision>15</cp:revision>
  <cp:lastPrinted>2015-01-05T15:24:00Z</cp:lastPrinted>
  <dcterms:created xsi:type="dcterms:W3CDTF">2014-12-17T21:10:00Z</dcterms:created>
  <dcterms:modified xsi:type="dcterms:W3CDTF">2015-08-18T19:58:00Z</dcterms:modified>
</cp:coreProperties>
</file>